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Pr="00FF4904" w:rsidRDefault="00FF4904" w:rsidP="00FF490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FF4904">
        <w:rPr>
          <w:sz w:val="28"/>
        </w:rPr>
        <w:t>О запрете на использование личных средств связи с</w:t>
      </w:r>
    </w:p>
    <w:p w:rsidR="00FF4904" w:rsidRDefault="00FF4904" w:rsidP="00FF490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FF4904">
        <w:rPr>
          <w:sz w:val="28"/>
        </w:rPr>
        <w:t>выходом в сеть «Инте</w:t>
      </w:r>
      <w:r>
        <w:rPr>
          <w:sz w:val="28"/>
        </w:rPr>
        <w:t>рнет» учащимися МОБУ Башкирская гимназия</w:t>
      </w:r>
    </w:p>
    <w:p w:rsidR="00FF4904" w:rsidRDefault="00FF4904" w:rsidP="00784DA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 xml:space="preserve"> им. Я. </w:t>
      </w:r>
      <w:proofErr w:type="spellStart"/>
      <w:r>
        <w:rPr>
          <w:sz w:val="28"/>
        </w:rPr>
        <w:t>Хамматова</w:t>
      </w:r>
      <w:proofErr w:type="spellEnd"/>
      <w:r>
        <w:rPr>
          <w:sz w:val="28"/>
        </w:rPr>
        <w:t xml:space="preserve"> г. Белорецк</w:t>
      </w:r>
    </w:p>
    <w:p w:rsidR="00784DA1" w:rsidRDefault="00784DA1" w:rsidP="00784DA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bookmarkStart w:id="0" w:name="_GoBack"/>
      <w:bookmarkEnd w:id="0"/>
    </w:p>
    <w:p w:rsidR="00FF4904" w:rsidRPr="00FF4904" w:rsidRDefault="00FF4904" w:rsidP="00FF4904">
      <w:pPr>
        <w:pStyle w:val="a3"/>
        <w:shd w:val="clear" w:color="auto" w:fill="FFFFFF"/>
        <w:spacing w:after="135" w:line="276" w:lineRule="auto"/>
        <w:jc w:val="center"/>
        <w:rPr>
          <w:sz w:val="28"/>
        </w:rPr>
      </w:pPr>
      <w:r w:rsidRPr="00FF4904">
        <w:rPr>
          <w:sz w:val="28"/>
        </w:rPr>
        <w:t>Уважаемые родители</w:t>
      </w:r>
      <w:r w:rsidR="00CA640E">
        <w:rPr>
          <w:sz w:val="28"/>
        </w:rPr>
        <w:t xml:space="preserve"> (законные представители) учащихся</w:t>
      </w:r>
      <w:r w:rsidRPr="00FF4904">
        <w:rPr>
          <w:sz w:val="28"/>
        </w:rPr>
        <w:t>!</w:t>
      </w:r>
    </w:p>
    <w:p w:rsidR="00FF4904" w:rsidRDefault="00FF4904" w:rsidP="00FF4904">
      <w:pPr>
        <w:pStyle w:val="a3"/>
        <w:shd w:val="clear" w:color="auto" w:fill="FFFFFF"/>
        <w:spacing w:after="135" w:line="276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Pr="00FF4904">
        <w:rPr>
          <w:sz w:val="28"/>
        </w:rPr>
        <w:t>В целях защиты детей от информации, причиняющей вре</w:t>
      </w:r>
      <w:r>
        <w:rPr>
          <w:sz w:val="28"/>
        </w:rPr>
        <w:t xml:space="preserve">д их здоровью и (или) развитию,        </w:t>
      </w:r>
      <w:r w:rsidRPr="00FF4904">
        <w:rPr>
          <w:sz w:val="28"/>
        </w:rPr>
        <w:t>Федеральным законом от 29 декабря 2010 года № 436-ФЗ</w:t>
      </w:r>
      <w:r>
        <w:rPr>
          <w:sz w:val="28"/>
        </w:rPr>
        <w:t xml:space="preserve"> «О защите детей от информации, </w:t>
      </w:r>
      <w:r w:rsidRPr="00FF4904">
        <w:rPr>
          <w:sz w:val="28"/>
        </w:rPr>
        <w:t>причиняющей вред их здоровью и развитию» установлены требования к распростран</w:t>
      </w:r>
      <w:r>
        <w:rPr>
          <w:sz w:val="28"/>
        </w:rPr>
        <w:t xml:space="preserve">ению среди </w:t>
      </w:r>
      <w:r w:rsidRPr="00FF4904">
        <w:rPr>
          <w:sz w:val="28"/>
        </w:rPr>
        <w:t>детей информации, в том числе требования к осуществлен</w:t>
      </w:r>
      <w:r>
        <w:rPr>
          <w:sz w:val="28"/>
        </w:rPr>
        <w:t xml:space="preserve">ию классификации информационной </w:t>
      </w:r>
      <w:r w:rsidRPr="00FF4904">
        <w:rPr>
          <w:sz w:val="28"/>
        </w:rPr>
        <w:t xml:space="preserve">продукции, ее экспертизы, государственного надзора и контроля </w:t>
      </w:r>
      <w:r>
        <w:rPr>
          <w:sz w:val="28"/>
        </w:rPr>
        <w:t xml:space="preserve">за соблюдением законодательства </w:t>
      </w:r>
      <w:r w:rsidRPr="00FF4904">
        <w:rPr>
          <w:sz w:val="28"/>
        </w:rPr>
        <w:t>Российской Федерации о защите детей от информации, причиняющей вр</w:t>
      </w:r>
      <w:r>
        <w:rPr>
          <w:sz w:val="28"/>
        </w:rPr>
        <w:t xml:space="preserve">ед их здоровью и (или) развитию. </w:t>
      </w:r>
      <w:r w:rsidRPr="00FF4904">
        <w:rPr>
          <w:sz w:val="28"/>
        </w:rPr>
        <w:t>В перечень видов информации, распространяем</w:t>
      </w:r>
      <w:r>
        <w:rPr>
          <w:sz w:val="28"/>
        </w:rPr>
        <w:t xml:space="preserve">ой посредством сети «Интернет», </w:t>
      </w:r>
      <w:r w:rsidRPr="00FF4904">
        <w:rPr>
          <w:sz w:val="28"/>
        </w:rPr>
        <w:t>причиняющей вред здоровью и (или) развитию детей, а т</w:t>
      </w:r>
      <w:r>
        <w:rPr>
          <w:sz w:val="28"/>
        </w:rPr>
        <w:t xml:space="preserve">акже не соответствующей задачам </w:t>
      </w:r>
      <w:r w:rsidRPr="00FF4904">
        <w:rPr>
          <w:sz w:val="28"/>
        </w:rPr>
        <w:t>образования включены следующие виды информации:</w:t>
      </w: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993"/>
        <w:gridCol w:w="3828"/>
        <w:gridCol w:w="4955"/>
      </w:tblGrid>
      <w:tr w:rsidR="00FF4904" w:rsidRPr="00CA640E" w:rsidTr="008F43DB">
        <w:tc>
          <w:tcPr>
            <w:tcW w:w="993" w:type="dxa"/>
          </w:tcPr>
          <w:p w:rsidR="00FF4904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№</w:t>
            </w:r>
          </w:p>
        </w:tc>
        <w:tc>
          <w:tcPr>
            <w:tcW w:w="3828" w:type="dxa"/>
          </w:tcPr>
          <w:p w:rsidR="00FF4904" w:rsidRPr="00CA640E" w:rsidRDefault="00FF4904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Виды информации. Описание видов информации</w:t>
            </w:r>
          </w:p>
        </w:tc>
        <w:tc>
          <w:tcPr>
            <w:tcW w:w="4955" w:type="dxa"/>
          </w:tcPr>
          <w:p w:rsidR="00FF4904" w:rsidRPr="00CA640E" w:rsidRDefault="00FF4904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Информация, запрещенная для распространения среди детей согласно части 5 статьи 5 Федерального закона № 436-ФЗ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описания и/или изображения способов причинения вреда своему здоровью, самоубийства; обсуждения таких способов и их последствий, мотивирующая на совершение таких действий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2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 xml:space="preserve"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</w:t>
            </w:r>
            <w:r w:rsidRPr="00CA640E">
              <w:lastRenderedPageBreak/>
              <w:t>проституцией, бродяжничеством или попрошайничеством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lastRenderedPageBreak/>
              <w:t xml:space="preserve">Информационная продукция (в том числе сайты, форумы, доски объявлений, страницы социальных сетей, чаты в сети "Интернет"), содержащая рекламу или объявления/предложения о продаже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его основе, участии в азартных играх, </w:t>
            </w:r>
            <w:r w:rsidRPr="00CA640E">
              <w:lastRenderedPageBreak/>
              <w:t>использовании или вовлечении в проституцию, бродяжничество или попрошайничество, содержащая обсуждение или организующую активность на данную тему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lastRenderedPageBreak/>
              <w:t>3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Обосновывающая или оправдывающая допустимость насилия и (или) жестокости Информационная продукция (в том числе сайты, форумы, доски объявлений, страницы либо побуждающая осуществлять насильственные действия по отношению к людям или животным, за исключением случаев, предусмотренных Федеральным законом № 436-ФЗ</w:t>
            </w:r>
          </w:p>
        </w:tc>
        <w:tc>
          <w:tcPr>
            <w:tcW w:w="4955" w:type="dxa"/>
          </w:tcPr>
          <w:p w:rsidR="00F67C0B" w:rsidRPr="00CA640E" w:rsidRDefault="00F67C0B" w:rsidP="00F67C0B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актов насилия или жестокости, жертв насилия и жестокости, участников актов насилия и жестокости, обосновывающие или оправдывающие акты геноцида, военных преступлений, преступлений против человечности, террористических акций, массовых и серийных убийств, содержащие обсуждения участия или планирование совершающихся или будущих актов насилия или жестокости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4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призывающая к отказу от семьи и детей ("</w:t>
            </w:r>
            <w:proofErr w:type="spellStart"/>
            <w:r w:rsidRPr="00CA640E">
              <w:t>чайлдфри</w:t>
            </w:r>
            <w:proofErr w:type="spellEnd"/>
            <w:r w:rsidRPr="00CA640E">
              <w:t>"), страницы клубов для лиц нетрадиционной сексуальной ориентации, сообщества и ресурсы знакомств людей нетрадиционной сексуальной ориентации, содержащая описания, фотографии, рисунки, аудио- и видеоматериалы, описывающие и изображающие нетрадиционные сексуальные отношения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5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Оправдывающая противоправное поведение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видеоматериалы, содержащие призывы к противоправному поведению, одобрение противоправного поведения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6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Содержащая нецензурную брань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нецензурную брань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lastRenderedPageBreak/>
              <w:t>7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Содержащая информацию порнографического характера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8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по данной теме. Информация, распространение которой среди детей определенных возрастных категорий ограничено согласно части 3 статьи 5 Федерального закона № 436-ФЗ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9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10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</w:t>
            </w:r>
          </w:p>
        </w:tc>
        <w:tc>
          <w:tcPr>
            <w:tcW w:w="4955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F67C0B" w:rsidRPr="00CA640E" w:rsidTr="00CA640E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11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Представляемая в виде изображения или описания половых отношений между мужчиной и женщиной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</w:p>
        </w:tc>
      </w:tr>
      <w:tr w:rsidR="00F67C0B" w:rsidRPr="00CA640E" w:rsidTr="00CA640E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12</w:t>
            </w:r>
          </w:p>
        </w:tc>
        <w:tc>
          <w:tcPr>
            <w:tcW w:w="3828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Содержащая бранные слова и выражения, не относящиеся к нецензурной брани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 xml:space="preserve">Информационная продукция (в том числе сайты, форумы, доски объявлений, страницы социальных сетей, чаты в сети "Интернет"), содержащая указанные виды информации. </w:t>
            </w:r>
            <w:r w:rsidRPr="00CA640E">
              <w:lastRenderedPageBreak/>
              <w:t>Информация, не соответствующая задачам образования</w:t>
            </w:r>
          </w:p>
        </w:tc>
      </w:tr>
      <w:tr w:rsidR="00F67C0B" w:rsidRPr="00CA640E" w:rsidTr="008F43DB">
        <w:tc>
          <w:tcPr>
            <w:tcW w:w="993" w:type="dxa"/>
          </w:tcPr>
          <w:p w:rsidR="00F67C0B" w:rsidRPr="00CA640E" w:rsidRDefault="00F67C0B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lastRenderedPageBreak/>
              <w:t>13</w:t>
            </w:r>
          </w:p>
        </w:tc>
        <w:tc>
          <w:tcPr>
            <w:tcW w:w="3828" w:type="dxa"/>
          </w:tcPr>
          <w:p w:rsidR="00F67C0B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Компьютерные игры, за исключением соответствующих задачам образования</w:t>
            </w:r>
          </w:p>
        </w:tc>
        <w:tc>
          <w:tcPr>
            <w:tcW w:w="4955" w:type="dxa"/>
          </w:tcPr>
          <w:p w:rsidR="00F67C0B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 xml:space="preserve">Информационная продукция (в том числе сайты, форумы, доски объявлений, страницы социальных сетей, чаты в сети "Интернет") по тематике компьютерных игр, не соответствующая задачам образования, такая как порталы </w:t>
            </w:r>
            <w:proofErr w:type="spellStart"/>
            <w:r w:rsidRPr="00CA640E">
              <w:t>браузерных</w:t>
            </w:r>
            <w:proofErr w:type="spellEnd"/>
            <w:r w:rsidRPr="00CA640E">
              <w:t xml:space="preserve"> игр, массовые многопользовательские онлайн ролевые игры (MMORPG), массовые многопользовательские игры, основанные на имитации боевых или противоправных действий, советы для игроков и ключи для установки и прохождения игр, игровые форумы и чаты</w:t>
            </w:r>
          </w:p>
        </w:tc>
      </w:tr>
      <w:tr w:rsidR="00CA640E" w:rsidRPr="00CA640E" w:rsidTr="008F43DB">
        <w:tc>
          <w:tcPr>
            <w:tcW w:w="993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14</w:t>
            </w:r>
          </w:p>
        </w:tc>
        <w:tc>
          <w:tcPr>
            <w:tcW w:w="3828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Ресурсы, базирующиеся либо ориентированные на обеспечении анонимности распространителей и потребителей информации</w:t>
            </w:r>
          </w:p>
        </w:tc>
        <w:tc>
          <w:tcPr>
            <w:tcW w:w="4955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 xml:space="preserve">Анонимные форумы, чаты, доски объявлений и гостевые книги, такие как </w:t>
            </w:r>
            <w:proofErr w:type="spellStart"/>
            <w:r w:rsidRPr="00CA640E">
              <w:t>имиджборды</w:t>
            </w:r>
            <w:proofErr w:type="spellEnd"/>
            <w:r w:rsidRPr="00CA640E">
              <w:t xml:space="preserve">, </w:t>
            </w:r>
            <w:proofErr w:type="spellStart"/>
            <w:r w:rsidRPr="00CA640E">
              <w:t>анонимайзеры</w:t>
            </w:r>
            <w:proofErr w:type="spellEnd"/>
            <w:r w:rsidRPr="00CA640E">
              <w:t xml:space="preserve">, программы, обеспечивающие </w:t>
            </w:r>
            <w:proofErr w:type="spellStart"/>
            <w:r w:rsidRPr="00CA640E">
              <w:t>анонимизацию</w:t>
            </w:r>
            <w:proofErr w:type="spellEnd"/>
            <w:r w:rsidRPr="00CA640E">
              <w:t xml:space="preserve"> сетевого трафика в сети "Интернет" (</w:t>
            </w:r>
            <w:proofErr w:type="spellStart"/>
            <w:r w:rsidRPr="00CA640E">
              <w:t>tor</w:t>
            </w:r>
            <w:proofErr w:type="spellEnd"/>
            <w:r w:rsidRPr="00CA640E">
              <w:t>, I2P)</w:t>
            </w:r>
          </w:p>
        </w:tc>
      </w:tr>
      <w:tr w:rsidR="00CA640E" w:rsidRPr="00CA640E" w:rsidTr="008F43DB">
        <w:tc>
          <w:tcPr>
            <w:tcW w:w="993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15</w:t>
            </w:r>
          </w:p>
        </w:tc>
        <w:tc>
          <w:tcPr>
            <w:tcW w:w="3828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Банки рефератов, эссе, дипломных работ, за исключением соответствующих задачам образования</w:t>
            </w:r>
          </w:p>
        </w:tc>
        <w:tc>
          <w:tcPr>
            <w:tcW w:w="4955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представляющая собой банки готовых рефератов, эссе, дипломных работ, за исключением печатных и электронных образовательных и информационных ресурсов, создаваемых в организациях, осуществляющих образовательную деятельность</w:t>
            </w:r>
          </w:p>
        </w:tc>
      </w:tr>
      <w:tr w:rsidR="00CA640E" w:rsidRPr="00CA640E" w:rsidTr="008F43DB">
        <w:tc>
          <w:tcPr>
            <w:tcW w:w="993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16</w:t>
            </w:r>
          </w:p>
        </w:tc>
        <w:tc>
          <w:tcPr>
            <w:tcW w:w="3828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Онлайн-казино и тотализаторы</w:t>
            </w:r>
          </w:p>
        </w:tc>
        <w:tc>
          <w:tcPr>
            <w:tcW w:w="4955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Информационная продукция (в том числе сайты, форумы, доски объявлений, страницы социальных сетей, чаты в сети "Интернет"), содержащая информацию об электронных казино, тотализаторах, играх на деньги</w:t>
            </w:r>
          </w:p>
        </w:tc>
      </w:tr>
      <w:tr w:rsidR="00CA640E" w:rsidRPr="00CA640E" w:rsidTr="008F43DB">
        <w:tc>
          <w:tcPr>
            <w:tcW w:w="993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17</w:t>
            </w:r>
          </w:p>
        </w:tc>
        <w:tc>
          <w:tcPr>
            <w:tcW w:w="3828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Мошеннические сайты</w:t>
            </w:r>
          </w:p>
        </w:tc>
        <w:tc>
          <w:tcPr>
            <w:tcW w:w="4955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Сайты, навязывающие платные услуги на базе CMC-платежей, сайты, обманным путем собирающие личную информацию (</w:t>
            </w:r>
            <w:proofErr w:type="spellStart"/>
            <w:r w:rsidRPr="00CA640E">
              <w:t>фишинг</w:t>
            </w:r>
            <w:proofErr w:type="spellEnd"/>
            <w:r w:rsidRPr="00CA640E">
              <w:t>)</w:t>
            </w:r>
          </w:p>
        </w:tc>
      </w:tr>
      <w:tr w:rsidR="00CA640E" w:rsidRPr="00CA640E" w:rsidTr="008F43DB">
        <w:tc>
          <w:tcPr>
            <w:tcW w:w="993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18</w:t>
            </w:r>
          </w:p>
        </w:tc>
        <w:tc>
          <w:tcPr>
            <w:tcW w:w="3828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>Магия, колдовство, чародейство, ясновидящие, приворот по фото, теургия, волшебство, некромантия, тоталитарные секты</w:t>
            </w:r>
          </w:p>
        </w:tc>
        <w:tc>
          <w:tcPr>
            <w:tcW w:w="4955" w:type="dxa"/>
          </w:tcPr>
          <w:p w:rsidR="00CA640E" w:rsidRPr="00CA640E" w:rsidRDefault="00CA640E" w:rsidP="009E5CE9">
            <w:pPr>
              <w:pStyle w:val="a3"/>
              <w:spacing w:before="0" w:beforeAutospacing="0" w:after="135" w:afterAutospacing="0" w:line="276" w:lineRule="auto"/>
              <w:jc w:val="both"/>
            </w:pPr>
            <w:r w:rsidRPr="00CA640E">
              <w:t xml:space="preserve">Информационная продукция, оказывающая психологическое воздействие на детей, при которой человек обращается к тайным силам с </w:t>
            </w:r>
            <w:r w:rsidRPr="00CA640E">
              <w:lastRenderedPageBreak/>
              <w:t>целью влияния на события, а также | реального или кажущегося воздействия на состояние</w:t>
            </w:r>
          </w:p>
        </w:tc>
      </w:tr>
    </w:tbl>
    <w:p w:rsidR="00FF4904" w:rsidRDefault="00CA640E" w:rsidP="00CA64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 xml:space="preserve">     </w:t>
      </w:r>
      <w:r w:rsidRPr="00CA640E">
        <w:rPr>
          <w:sz w:val="28"/>
        </w:rPr>
        <w:t xml:space="preserve">Обращаем Ваше внимание, что в соответствии со статьей 6.17 Кодекса Российской Федерации об административных правонарушениях от 30 декабря 2001 года № 195-ФЗ руководитель образовательной организации несет ответственность за нарушение законодательства Российской Федерации о защите детей от информации, причиняющей вред их здоровью и (или) развитию. Таким образом, с целью устранения рисков предоставления детям личных средств связи с выходом в сеть «Интернет» при посещении образовательного учреждения </w:t>
      </w:r>
      <w:r>
        <w:rPr>
          <w:sz w:val="28"/>
        </w:rPr>
        <w:t xml:space="preserve">МОБУ Башкирская гимназия им. Я. </w:t>
      </w:r>
      <w:proofErr w:type="spellStart"/>
      <w:r>
        <w:rPr>
          <w:sz w:val="28"/>
        </w:rPr>
        <w:t>Хамматова</w:t>
      </w:r>
      <w:proofErr w:type="spellEnd"/>
      <w:r>
        <w:rPr>
          <w:sz w:val="28"/>
        </w:rPr>
        <w:t xml:space="preserve"> г. Белорецк </w:t>
      </w:r>
      <w:r w:rsidRPr="00CA640E">
        <w:rPr>
          <w:sz w:val="28"/>
        </w:rPr>
        <w:t>вводится запрет на использование личных средств связи с выходом в сеть «Интернет» учащимися или необходимо согласие родителей (законных представителей) о снятии ответственности с руководителя образовательной организации в случае предоставления своему ребенку личных средств связи с выходом в сеть «Интернет» при посещении образовательного учреждения</w:t>
      </w:r>
      <w:r>
        <w:rPr>
          <w:sz w:val="28"/>
        </w:rPr>
        <w:t>.</w:t>
      </w: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FF4904" w:rsidRDefault="00FF4904" w:rsidP="009E5CE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</w:rPr>
      </w:pPr>
    </w:p>
    <w:p w:rsidR="00801BC3" w:rsidRPr="009E5CE9" w:rsidRDefault="00801BC3" w:rsidP="00801B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16"/>
        </w:rPr>
      </w:pPr>
    </w:p>
    <w:p w:rsidR="00801BC3" w:rsidRPr="009E5CE9" w:rsidRDefault="00801BC3" w:rsidP="00801BC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16"/>
        </w:rPr>
      </w:pPr>
    </w:p>
    <w:p w:rsidR="00801BC3" w:rsidRPr="009E5CE9" w:rsidRDefault="00801BC3" w:rsidP="00801B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6"/>
        </w:rPr>
      </w:pPr>
    </w:p>
    <w:p w:rsidR="00801BC3" w:rsidRPr="009E5CE9" w:rsidRDefault="00801BC3" w:rsidP="00801B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6"/>
        </w:rPr>
      </w:pPr>
      <w:r w:rsidRPr="009E5CE9">
        <w:rPr>
          <w:sz w:val="28"/>
          <w:szCs w:val="16"/>
        </w:rPr>
        <w:t xml:space="preserve">   </w:t>
      </w:r>
    </w:p>
    <w:p w:rsidR="00801BC3" w:rsidRPr="009E5CE9" w:rsidRDefault="00801BC3" w:rsidP="00801BC3">
      <w:pPr>
        <w:jc w:val="both"/>
        <w:rPr>
          <w:rFonts w:ascii="Times New Roman" w:hAnsi="Times New Roman" w:cs="Times New Roman"/>
          <w:sz w:val="40"/>
        </w:rPr>
      </w:pPr>
    </w:p>
    <w:p w:rsidR="009E5CE9" w:rsidRPr="009E5CE9" w:rsidRDefault="009E5CE9" w:rsidP="009E5CE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16"/>
        </w:rPr>
      </w:pPr>
    </w:p>
    <w:p w:rsidR="009E5CE9" w:rsidRPr="009E5CE9" w:rsidRDefault="009E5CE9" w:rsidP="00D064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6"/>
        </w:rPr>
      </w:pPr>
    </w:p>
    <w:p w:rsidR="009E5CE9" w:rsidRPr="009E5CE9" w:rsidRDefault="00D0647C" w:rsidP="009E5C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16"/>
        </w:rPr>
      </w:pPr>
      <w:r w:rsidRPr="009E5CE9">
        <w:rPr>
          <w:sz w:val="28"/>
          <w:szCs w:val="16"/>
        </w:rPr>
        <w:t xml:space="preserve">   </w:t>
      </w:r>
    </w:p>
    <w:p w:rsidR="004570FC" w:rsidRPr="009E5CE9" w:rsidRDefault="004570FC" w:rsidP="00D0647C">
      <w:pPr>
        <w:jc w:val="both"/>
        <w:rPr>
          <w:rFonts w:ascii="Times New Roman" w:hAnsi="Times New Roman" w:cs="Times New Roman"/>
          <w:sz w:val="40"/>
        </w:rPr>
      </w:pPr>
    </w:p>
    <w:sectPr w:rsidR="004570FC" w:rsidRPr="009E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FB"/>
    <w:rsid w:val="001E02FB"/>
    <w:rsid w:val="004570FC"/>
    <w:rsid w:val="00784DA1"/>
    <w:rsid w:val="00801BC3"/>
    <w:rsid w:val="008C4398"/>
    <w:rsid w:val="008F43DB"/>
    <w:rsid w:val="009E5CE9"/>
    <w:rsid w:val="00CA640E"/>
    <w:rsid w:val="00D0647C"/>
    <w:rsid w:val="00F67C0B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2088"/>
  <w15:chartTrackingRefBased/>
  <w15:docId w15:val="{0A9D68A8-E1B1-418E-9F59-12CE4ABA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1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1B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F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2019-01-23T04:04:00Z</cp:lastPrinted>
  <dcterms:created xsi:type="dcterms:W3CDTF">2019-01-22T15:03:00Z</dcterms:created>
  <dcterms:modified xsi:type="dcterms:W3CDTF">2019-01-24T10:13:00Z</dcterms:modified>
</cp:coreProperties>
</file>